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716590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9926B7">
              <w:rPr>
                <w:rFonts w:ascii="Garamond" w:hAnsi="Garamond"/>
                <w:b/>
                <w:sz w:val="24"/>
                <w:szCs w:val="24"/>
              </w:rPr>
              <w:t xml:space="preserve">  V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A3B82" w:rsidRPr="009353BF" w:rsidRDefault="009926B7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9926B7">
        <w:rPr>
          <w:rFonts w:ascii="Garamond" w:hAnsi="Garamond"/>
          <w:b/>
          <w:sz w:val="28"/>
          <w:szCs w:val="28"/>
        </w:rPr>
        <w:t>V/2</w:t>
      </w:r>
    </w:p>
    <w:p w:rsidR="009926B7" w:rsidRDefault="009926B7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</w:t>
      </w:r>
      <w:r w:rsidR="003443DF">
        <w:rPr>
          <w:rFonts w:ascii="Garamond" w:hAnsi="Garamond"/>
          <w:b/>
          <w:sz w:val="28"/>
          <w:szCs w:val="28"/>
        </w:rPr>
        <w:t xml:space="preserve">ifikátor: </w:t>
      </w:r>
      <w:r w:rsidR="007215A0">
        <w:rPr>
          <w:rFonts w:ascii="Garamond" w:hAnsi="Garamond"/>
          <w:b/>
          <w:sz w:val="28"/>
          <w:szCs w:val="28"/>
        </w:rPr>
        <w:t>VY_52_INOVACE_27</w:t>
      </w:r>
      <w:r w:rsidR="003443DF">
        <w:rPr>
          <w:rFonts w:ascii="Garamond" w:hAnsi="Garamond"/>
          <w:b/>
          <w:sz w:val="28"/>
          <w:szCs w:val="28"/>
        </w:rPr>
        <w:t>_SADA</w:t>
      </w:r>
      <w:r w:rsidR="004F0723">
        <w:rPr>
          <w:rFonts w:ascii="Garamond" w:hAnsi="Garamond"/>
          <w:b/>
          <w:sz w:val="28"/>
          <w:szCs w:val="28"/>
        </w:rPr>
        <w:t>5</w:t>
      </w:r>
      <w:r>
        <w:rPr>
          <w:rFonts w:ascii="Garamond" w:hAnsi="Garamond"/>
          <w:b/>
          <w:sz w:val="28"/>
          <w:szCs w:val="28"/>
        </w:rPr>
        <w:t>_KBS_</w:t>
      </w:r>
      <w:r w:rsidR="00A13124">
        <w:rPr>
          <w:rFonts w:ascii="Garamond" w:hAnsi="Garamond"/>
          <w:b/>
          <w:sz w:val="28"/>
          <w:szCs w:val="28"/>
        </w:rPr>
        <w:t>8ROC_</w:t>
      </w:r>
      <w:r w:rsidR="0007028E">
        <w:rPr>
          <w:rFonts w:ascii="Garamond" w:hAnsi="Garamond"/>
          <w:b/>
          <w:sz w:val="28"/>
          <w:szCs w:val="28"/>
        </w:rPr>
        <w:t>PALIVA</w:t>
      </w:r>
    </w:p>
    <w:p w:rsidR="009926B7" w:rsidRDefault="009926B7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926B7" w:rsidRDefault="007846F1" w:rsidP="009926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9926B7">
        <w:rPr>
          <w:rFonts w:ascii="Garamond" w:hAnsi="Garamond"/>
          <w:b/>
          <w:sz w:val="24"/>
          <w:szCs w:val="24"/>
        </w:rPr>
        <w:t xml:space="preserve"> </w:t>
      </w:r>
      <w:r w:rsidR="0007028E">
        <w:rPr>
          <w:rFonts w:ascii="Garamond" w:hAnsi="Garamond"/>
          <w:b/>
          <w:sz w:val="24"/>
          <w:szCs w:val="24"/>
        </w:rPr>
        <w:t>Paliva</w:t>
      </w:r>
    </w:p>
    <w:p w:rsidR="009926B7" w:rsidRDefault="004F0723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53314B">
        <w:rPr>
          <w:rFonts w:ascii="Garamond" w:hAnsi="Garamond"/>
          <w:b/>
          <w:sz w:val="24"/>
          <w:szCs w:val="24"/>
        </w:rPr>
        <w:t>2</w:t>
      </w:r>
      <w:r>
        <w:rPr>
          <w:rFonts w:ascii="Garamond" w:hAnsi="Garamond"/>
          <w:b/>
          <w:sz w:val="24"/>
          <w:szCs w:val="24"/>
        </w:rPr>
        <w:t>.</w:t>
      </w:r>
      <w:r w:rsidR="00A13124">
        <w:rPr>
          <w:rFonts w:ascii="Garamond" w:hAnsi="Garamond"/>
          <w:b/>
          <w:sz w:val="24"/>
          <w:szCs w:val="24"/>
        </w:rPr>
        <w:t xml:space="preserve"> </w:t>
      </w:r>
      <w:r w:rsidR="0053314B">
        <w:rPr>
          <w:rFonts w:ascii="Garamond" w:hAnsi="Garamond"/>
          <w:b/>
          <w:sz w:val="24"/>
          <w:szCs w:val="24"/>
        </w:rPr>
        <w:t>3</w:t>
      </w:r>
      <w:r>
        <w:rPr>
          <w:rFonts w:ascii="Garamond" w:hAnsi="Garamond"/>
          <w:b/>
          <w:sz w:val="24"/>
          <w:szCs w:val="24"/>
        </w:rPr>
        <w:t>.</w:t>
      </w:r>
      <w:r w:rsidR="00A13124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D3654C" w:rsidRP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9926B7">
        <w:rPr>
          <w:rFonts w:ascii="Garamond" w:hAnsi="Garamond"/>
          <w:b/>
          <w:sz w:val="24"/>
          <w:szCs w:val="24"/>
        </w:rPr>
        <w:t xml:space="preserve"> Mgr. Darina </w:t>
      </w:r>
      <w:proofErr w:type="spellStart"/>
      <w:r w:rsidR="009926B7"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9926B7">
        <w:rPr>
          <w:rFonts w:ascii="Garamond" w:hAnsi="Garamond"/>
          <w:b/>
          <w:sz w:val="24"/>
          <w:szCs w:val="24"/>
        </w:rPr>
        <w:t xml:space="preserve"> Určeno pro žáky 8. </w:t>
      </w:r>
      <w:r w:rsidR="004F0723">
        <w:rPr>
          <w:rFonts w:ascii="Garamond" w:hAnsi="Garamond"/>
          <w:b/>
          <w:sz w:val="24"/>
          <w:szCs w:val="24"/>
        </w:rPr>
        <w:t>r</w:t>
      </w:r>
      <w:r w:rsidR="009926B7">
        <w:rPr>
          <w:rFonts w:ascii="Garamond" w:hAnsi="Garamond"/>
          <w:b/>
          <w:sz w:val="24"/>
          <w:szCs w:val="24"/>
        </w:rPr>
        <w:t>očníku k</w:t>
      </w:r>
      <w:r w:rsidR="004F0723">
        <w:rPr>
          <w:rFonts w:ascii="Garamond" w:hAnsi="Garamond"/>
          <w:b/>
          <w:sz w:val="24"/>
          <w:szCs w:val="24"/>
        </w:rPr>
        <w:t xml:space="preserve"> procvičení </w:t>
      </w:r>
      <w:r w:rsidR="0007028E">
        <w:rPr>
          <w:rFonts w:ascii="Garamond" w:hAnsi="Garamond"/>
          <w:b/>
          <w:sz w:val="24"/>
          <w:szCs w:val="24"/>
        </w:rPr>
        <w:t>tematického celku paliva</w:t>
      </w:r>
      <w:r w:rsidR="004F0723">
        <w:rPr>
          <w:rFonts w:ascii="Garamond" w:hAnsi="Garamond"/>
          <w:b/>
          <w:sz w:val="24"/>
          <w:szCs w:val="24"/>
        </w:rPr>
        <w:t>.</w:t>
      </w:r>
    </w:p>
    <w:p w:rsidR="00477A44" w:rsidRPr="008A3B82" w:rsidRDefault="00477A44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4F0723">
        <w:rPr>
          <w:rFonts w:ascii="Garamond" w:hAnsi="Garamond"/>
          <w:b/>
          <w:sz w:val="24"/>
          <w:szCs w:val="24"/>
        </w:rPr>
        <w:t xml:space="preserve"> Lze použít po dokončení kapitoly o uhlovodících</w:t>
      </w:r>
      <w:r w:rsidR="0007028E">
        <w:rPr>
          <w:rFonts w:ascii="Garamond" w:hAnsi="Garamond"/>
          <w:b/>
          <w:sz w:val="24"/>
          <w:szCs w:val="24"/>
        </w:rPr>
        <w:t xml:space="preserve"> a palivech</w:t>
      </w:r>
      <w:r w:rsidR="004F0723">
        <w:rPr>
          <w:rFonts w:ascii="Garamond" w:hAnsi="Garamond"/>
          <w:b/>
          <w:sz w:val="24"/>
          <w:szCs w:val="24"/>
        </w:rPr>
        <w:t xml:space="preserve"> k procvičení znalostí a dovedností. Žáci pracují samostatně 15 – 20 min. dle potřeb žáků.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4E385D" w:rsidRDefault="004E385D" w:rsidP="00D3654C">
      <w:pPr>
        <w:rPr>
          <w:rFonts w:ascii="Garamond" w:hAnsi="Garamond"/>
        </w:rPr>
      </w:pPr>
    </w:p>
    <w:p w:rsidR="008A3B82" w:rsidRDefault="00A7094A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-158115</wp:posOffset>
            </wp:positionH>
            <wp:positionV relativeFrom="paragraph">
              <wp:posOffset>797560</wp:posOffset>
            </wp:positionV>
            <wp:extent cx="6158230" cy="1509395"/>
            <wp:effectExtent l="19050" t="0" r="0" b="0"/>
            <wp:wrapTight wrapText="largest">
              <wp:wrapPolygon edited="0">
                <wp:start x="-67" y="0"/>
                <wp:lineTo x="-67" y="21264"/>
                <wp:lineTo x="21582" y="21264"/>
                <wp:lineTo x="21582" y="0"/>
                <wp:lineTo x="-67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7290" w:rsidRDefault="000F7290" w:rsidP="00D3654C">
      <w:pPr>
        <w:rPr>
          <w:rFonts w:ascii="Garamond" w:hAnsi="Garamond"/>
        </w:rPr>
      </w:pPr>
    </w:p>
    <w:p w:rsidR="000F7290" w:rsidRDefault="000F7290" w:rsidP="00D3654C">
      <w:pPr>
        <w:rPr>
          <w:rFonts w:ascii="Garamond" w:hAnsi="Garamond"/>
        </w:rPr>
      </w:pPr>
    </w:p>
    <w:p w:rsidR="000F7290" w:rsidRDefault="000F7290" w:rsidP="00D3654C">
      <w:pPr>
        <w:rPr>
          <w:rFonts w:ascii="Garamond" w:hAnsi="Garamond"/>
        </w:rPr>
      </w:pPr>
    </w:p>
    <w:p w:rsidR="00204A09" w:rsidRDefault="00204A09" w:rsidP="00204A09">
      <w:r>
        <w:lastRenderedPageBreak/>
        <w:t xml:space="preserve">Pracovní list č. </w:t>
      </w:r>
      <w:proofErr w:type="gramStart"/>
      <w:r>
        <w:t>2</w:t>
      </w:r>
      <w:r>
        <w:tab/>
      </w:r>
      <w:r>
        <w:tab/>
      </w:r>
      <w:r>
        <w:tab/>
      </w:r>
      <w:r>
        <w:tab/>
      </w:r>
      <w:r>
        <w:tab/>
      </w:r>
      <w:r>
        <w:tab/>
        <w:t>Jméno</w:t>
      </w:r>
      <w:proofErr w:type="gramEnd"/>
      <w:r>
        <w:t>, třída:</w:t>
      </w:r>
    </w:p>
    <w:p w:rsidR="0007028E" w:rsidRDefault="0007028E" w:rsidP="0007028E">
      <w:pPr>
        <w:jc w:val="center"/>
      </w:pPr>
      <w:r>
        <w:rPr>
          <w:b/>
          <w:sz w:val="28"/>
          <w:szCs w:val="28"/>
        </w:rPr>
        <w:t>Paliva</w:t>
      </w: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 xml:space="preserve">Podle PSP doplň do </w:t>
      </w:r>
      <w:r w:rsidR="00BE2262">
        <w:t>obrázku</w:t>
      </w:r>
      <w:r>
        <w:t xml:space="preserve"> informace o uhlíku (protonové číslo, značka, elektronegativita…).</w:t>
      </w:r>
    </w:p>
    <w:p w:rsidR="0007028E" w:rsidRDefault="0007028E" w:rsidP="0007028E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1314450" cy="1476375"/>
            <wp:effectExtent l="19050" t="0" r="0" b="0"/>
            <wp:docPr id="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 xml:space="preserve">V jaké formě se vyskytuje uhlík na </w:t>
      </w:r>
      <w:r w:rsidR="00BE2262">
        <w:t>obrázcích</w:t>
      </w:r>
      <w:r>
        <w:t>?</w:t>
      </w:r>
    </w:p>
    <w:p w:rsidR="0007028E" w:rsidRDefault="0007028E" w:rsidP="0007028E">
      <w:pPr>
        <w:pStyle w:val="Odstavecseseznamem"/>
        <w:rPr>
          <w:rFonts w:ascii="Segoe UI" w:hAnsi="Segoe UI" w:cs="Segoe UI"/>
          <w:noProof/>
          <w:color w:val="666666"/>
          <w:sz w:val="15"/>
          <w:szCs w:val="15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828800" cy="838200"/>
            <wp:effectExtent l="0" t="0" r="0" b="0"/>
            <wp:docPr id="13" name="obrázek 2" descr="C:\Program Files\Microsoft Office\MEDIA\CAGCAT10\j021685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216858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E9C">
        <w:rPr>
          <w:rFonts w:ascii="Segoe UI" w:hAnsi="Segoe UI" w:cs="Segoe UI"/>
          <w:color w:val="666666"/>
          <w:sz w:val="15"/>
          <w:szCs w:val="15"/>
        </w:rPr>
        <w:t xml:space="preserve"> </w:t>
      </w:r>
      <w:r>
        <w:rPr>
          <w:rFonts w:ascii="Segoe UI" w:hAnsi="Segoe UI" w:cs="Segoe UI"/>
          <w:color w:val="666666"/>
          <w:sz w:val="15"/>
          <w:szCs w:val="15"/>
        </w:rPr>
        <w:tab/>
      </w:r>
      <w:r>
        <w:rPr>
          <w:rFonts w:ascii="Segoe UI" w:hAnsi="Segoe UI" w:cs="Segoe UI"/>
          <w:noProof/>
          <w:color w:val="666666"/>
          <w:sz w:val="15"/>
          <w:szCs w:val="15"/>
          <w:lang w:eastAsia="cs-CZ"/>
        </w:rPr>
        <w:drawing>
          <wp:inline distT="0" distB="0" distL="0" distR="0">
            <wp:extent cx="1104900" cy="1104900"/>
            <wp:effectExtent l="19050" t="0" r="0" b="0"/>
            <wp:docPr id="24" name="imgPreview" descr="http://officeimg.vo.msecnd.net/en-us/images/MH900411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http://officeimg.vo.msecnd.net/en-us/images/MH90041176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E9C">
        <w:rPr>
          <w:rFonts w:ascii="Segoe UI" w:hAnsi="Segoe UI" w:cs="Segoe UI"/>
          <w:color w:val="666666"/>
          <w:sz w:val="15"/>
          <w:szCs w:val="15"/>
        </w:rPr>
        <w:t xml:space="preserve"> </w:t>
      </w:r>
      <w:r>
        <w:rPr>
          <w:rFonts w:ascii="Segoe UI" w:hAnsi="Segoe UI" w:cs="Segoe UI"/>
          <w:noProof/>
          <w:color w:val="666666"/>
          <w:sz w:val="15"/>
          <w:szCs w:val="15"/>
          <w:lang w:eastAsia="cs-CZ"/>
        </w:rPr>
        <w:tab/>
      </w:r>
      <w:r w:rsidRPr="00880E9C">
        <w:rPr>
          <w:rFonts w:ascii="Segoe UI" w:hAnsi="Segoe UI" w:cs="Segoe UI"/>
          <w:noProof/>
          <w:color w:val="666666"/>
          <w:sz w:val="15"/>
          <w:szCs w:val="15"/>
          <w:lang w:eastAsia="cs-CZ"/>
        </w:rPr>
        <w:drawing>
          <wp:inline distT="0" distB="0" distL="0" distR="0">
            <wp:extent cx="923925" cy="923925"/>
            <wp:effectExtent l="19050" t="0" r="9525" b="0"/>
            <wp:docPr id="25" name="imgPreview" descr="http://officeimg.vo.msecnd.net/en-us/images/MH900309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http://officeimg.vo.msecnd.net/en-us/images/MH90030963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noProof/>
          <w:color w:val="666666"/>
          <w:sz w:val="15"/>
          <w:szCs w:val="15"/>
          <w:lang w:eastAsia="cs-CZ"/>
        </w:rPr>
        <w:tab/>
      </w:r>
    </w:p>
    <w:p w:rsidR="0007028E" w:rsidRDefault="0007028E" w:rsidP="0007028E">
      <w:pPr>
        <w:pStyle w:val="Odstavecseseznamem"/>
        <w:rPr>
          <w:rFonts w:ascii="Segoe UI" w:hAnsi="Segoe UI" w:cs="Segoe UI"/>
          <w:noProof/>
          <w:color w:val="666666"/>
          <w:sz w:val="15"/>
          <w:szCs w:val="15"/>
          <w:lang w:eastAsia="cs-CZ"/>
        </w:rPr>
      </w:pP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>Jakým způsobem vzniká uhlí? Jak se nazývá tento proces?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>Spoj, co k sobě patří: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spacing w:line="360" w:lineRule="auto"/>
      </w:pPr>
      <w:r>
        <w:t>&gt; 90% uhlíku</w:t>
      </w:r>
      <w:r>
        <w:tab/>
      </w:r>
      <w:r>
        <w:tab/>
      </w:r>
      <w:r>
        <w:tab/>
        <w:t>HNĚDÉ UHLÍ</w:t>
      </w:r>
      <w:r>
        <w:tab/>
      </w:r>
      <w:r>
        <w:tab/>
      </w:r>
      <w:r>
        <w:tab/>
        <w:t xml:space="preserve">vysoká výhřevnost, palivo </w:t>
      </w:r>
    </w:p>
    <w:p w:rsidR="0007028E" w:rsidRDefault="0007028E" w:rsidP="0007028E">
      <w:pPr>
        <w:pStyle w:val="Odstavecseseznamem"/>
        <w:spacing w:line="360" w:lineRule="auto"/>
      </w:pPr>
      <w:r>
        <w:t>90% uhlíku</w:t>
      </w:r>
      <w:r>
        <w:tab/>
      </w:r>
      <w:r>
        <w:tab/>
      </w:r>
      <w:r>
        <w:tab/>
        <w:t>ANTRACIT</w:t>
      </w:r>
      <w:r>
        <w:tab/>
      </w:r>
      <w:r>
        <w:tab/>
      </w:r>
      <w:r>
        <w:tab/>
        <w:t>kyselé deště</w:t>
      </w:r>
    </w:p>
    <w:p w:rsidR="0007028E" w:rsidRDefault="0007028E" w:rsidP="0007028E">
      <w:pPr>
        <w:pStyle w:val="Odstavecseseznamem"/>
        <w:spacing w:line="360" w:lineRule="auto"/>
      </w:pPr>
      <w:r w:rsidRPr="007215A0">
        <w:t>&gt;</w:t>
      </w:r>
      <w:r>
        <w:t>73% uhlíku</w:t>
      </w:r>
      <w:r>
        <w:tab/>
      </w:r>
      <w:r>
        <w:tab/>
      </w:r>
      <w:r>
        <w:tab/>
        <w:t>ČERNÉ UHLÍ</w:t>
      </w:r>
      <w:r>
        <w:tab/>
      </w:r>
      <w:r>
        <w:tab/>
      </w:r>
      <w:r>
        <w:tab/>
        <w:t>černý, lesklý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>Jakou výhodu má zemní plyn oproti černému uhlí?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>Vyjmenuj společné znaky benzinu a nafty. Čím se naopak liší?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  <w:r>
        <w:t>Společné znaky: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  <w:r>
        <w:t>Odlišnost: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>Napiš, jaké znáš druhy benzinu a označ, který z nich je nejkvalitnější. Svou volbu zdůvodni.</w:t>
      </w:r>
    </w:p>
    <w:p w:rsidR="0007028E" w:rsidRDefault="0007028E" w:rsidP="0007028E"/>
    <w:p w:rsidR="0007028E" w:rsidRDefault="0007028E" w:rsidP="0007028E">
      <w:pPr>
        <w:pStyle w:val="Odstavecseseznamem"/>
        <w:numPr>
          <w:ilvl w:val="0"/>
          <w:numId w:val="5"/>
        </w:numPr>
      </w:pPr>
      <w:r>
        <w:lastRenderedPageBreak/>
        <w:t>Do tabulky doplň zplodiny, které vznikají při spalování nafty a benzinu. K čemu v automobilech slouží katalyzátory?</w:t>
      </w: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</w:p>
    <w:tbl>
      <w:tblPr>
        <w:tblStyle w:val="Mkatabulky"/>
        <w:tblW w:w="0" w:type="auto"/>
        <w:tblInd w:w="720" w:type="dxa"/>
        <w:tblLook w:val="04A0"/>
      </w:tblPr>
      <w:tblGrid>
        <w:gridCol w:w="4289"/>
        <w:gridCol w:w="4279"/>
      </w:tblGrid>
      <w:tr w:rsidR="0007028E" w:rsidTr="00C9519A">
        <w:tc>
          <w:tcPr>
            <w:tcW w:w="4289" w:type="dxa"/>
          </w:tcPr>
          <w:p w:rsidR="0007028E" w:rsidRPr="00857BA4" w:rsidRDefault="0007028E" w:rsidP="00C9519A">
            <w:pPr>
              <w:pStyle w:val="Odstavecseseznamem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57BA4">
              <w:rPr>
                <w:b/>
                <w:sz w:val="24"/>
                <w:szCs w:val="24"/>
              </w:rPr>
              <w:t>Benzin</w:t>
            </w:r>
          </w:p>
        </w:tc>
        <w:tc>
          <w:tcPr>
            <w:tcW w:w="4279" w:type="dxa"/>
          </w:tcPr>
          <w:p w:rsidR="0007028E" w:rsidRPr="00857BA4" w:rsidRDefault="0007028E" w:rsidP="00C9519A">
            <w:pPr>
              <w:pStyle w:val="Odstavecseseznamem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57BA4">
              <w:rPr>
                <w:b/>
                <w:sz w:val="24"/>
                <w:szCs w:val="24"/>
              </w:rPr>
              <w:t>Nafta</w:t>
            </w:r>
          </w:p>
        </w:tc>
      </w:tr>
      <w:tr w:rsidR="0007028E" w:rsidTr="00A9126D">
        <w:trPr>
          <w:trHeight w:val="1228"/>
        </w:trPr>
        <w:tc>
          <w:tcPr>
            <w:tcW w:w="4289" w:type="dxa"/>
          </w:tcPr>
          <w:p w:rsidR="0007028E" w:rsidRDefault="0007028E" w:rsidP="00A9126D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4279" w:type="dxa"/>
          </w:tcPr>
          <w:p w:rsidR="0007028E" w:rsidRDefault="0007028E" w:rsidP="00A9126D">
            <w:pPr>
              <w:pStyle w:val="Odstavecseseznamem"/>
              <w:spacing w:line="360" w:lineRule="auto"/>
              <w:ind w:left="0"/>
            </w:pPr>
          </w:p>
        </w:tc>
      </w:tr>
    </w:tbl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</w:pPr>
    </w:p>
    <w:p w:rsidR="0007028E" w:rsidRDefault="0007028E" w:rsidP="0007028E">
      <w:pPr>
        <w:pStyle w:val="Odstavecseseznamem"/>
        <w:numPr>
          <w:ilvl w:val="0"/>
          <w:numId w:val="5"/>
        </w:numPr>
      </w:pPr>
      <w:r>
        <w:t xml:space="preserve">V jedné kádince na obrázku je směs vody a benzinu, ve druhé vody a nafty. Do rámečků zapiš, o kterou kapalinu se jedná. </w:t>
      </w:r>
    </w:p>
    <w:p w:rsidR="0007028E" w:rsidRDefault="0007028E" w:rsidP="0007028E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5572125" cy="1581150"/>
            <wp:effectExtent l="19050" t="0" r="9525" b="0"/>
            <wp:docPr id="26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voda a benzin</w:t>
      </w:r>
      <w:r>
        <w:tab/>
      </w:r>
      <w:r>
        <w:tab/>
      </w:r>
      <w:r>
        <w:tab/>
      </w:r>
      <w:r>
        <w:tab/>
      </w:r>
      <w:r>
        <w:tab/>
      </w:r>
      <w:r>
        <w:tab/>
        <w:t>voda a nafta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5373" w:rsidRDefault="002F5373" w:rsidP="00EB6238"/>
    <w:p w:rsidR="0007028E" w:rsidRDefault="0007028E" w:rsidP="00EB6238"/>
    <w:p w:rsidR="0007028E" w:rsidRDefault="0007028E" w:rsidP="00EB6238"/>
    <w:p w:rsidR="0007028E" w:rsidRDefault="0007028E" w:rsidP="00EB6238"/>
    <w:p w:rsidR="0007028E" w:rsidRDefault="0007028E" w:rsidP="00EB6238"/>
    <w:p w:rsidR="0007028E" w:rsidRDefault="0007028E" w:rsidP="00EB6238"/>
    <w:p w:rsidR="0007028E" w:rsidRDefault="0007028E" w:rsidP="00EB6238"/>
    <w:p w:rsidR="0007028E" w:rsidRDefault="0007028E" w:rsidP="00EB6238"/>
    <w:p w:rsidR="0007028E" w:rsidRDefault="0007028E" w:rsidP="00EB6238"/>
    <w:p w:rsidR="0007028E" w:rsidRDefault="0007028E" w:rsidP="00EB6238"/>
    <w:p w:rsidR="00101E6A" w:rsidRDefault="00101E6A" w:rsidP="00EB6238"/>
    <w:p w:rsidR="0007028E" w:rsidRDefault="0007028E" w:rsidP="00EB6238"/>
    <w:p w:rsidR="00EB6238" w:rsidRDefault="00EB6238" w:rsidP="00EB6238">
      <w:r>
        <w:lastRenderedPageBreak/>
        <w:t>Zdroje a literatura:</w:t>
      </w:r>
    </w:p>
    <w:p w:rsidR="00EB6238" w:rsidRPr="004A01CA" w:rsidRDefault="00EB6238" w:rsidP="00EB6238">
      <w:proofErr w:type="gramStart"/>
      <w:r>
        <w:t>PÁNEK,  Jan</w:t>
      </w:r>
      <w:proofErr w:type="gramEnd"/>
      <w:r>
        <w:t xml:space="preserve">; DOULÍK, Pavel; ŠKODA, Jiří. </w:t>
      </w:r>
      <w:r>
        <w:rPr>
          <w:i/>
        </w:rPr>
        <w:t xml:space="preserve">Chemie 8, pracovní sešit pro základní školy a víceletá gymnázia. </w:t>
      </w:r>
      <w:r w:rsidRPr="004A01CA">
        <w:t xml:space="preserve">1. </w:t>
      </w:r>
      <w:proofErr w:type="spellStart"/>
      <w:r>
        <w:t>v</w:t>
      </w:r>
      <w:r w:rsidRPr="004A01CA">
        <w:t>yd</w:t>
      </w:r>
      <w:proofErr w:type="spellEnd"/>
      <w:r w:rsidRPr="004A01CA">
        <w:t>.</w:t>
      </w:r>
      <w:r>
        <w:t xml:space="preserve"> Plzeň: </w:t>
      </w:r>
      <w:proofErr w:type="spellStart"/>
      <w:r>
        <w:t>Fraus</w:t>
      </w:r>
      <w:proofErr w:type="spellEnd"/>
      <w:r>
        <w:t xml:space="preserve">, 2006. ISBN 80-7238-443-0. </w:t>
      </w:r>
      <w:r w:rsidR="00435F47">
        <w:t>64 s</w:t>
      </w:r>
      <w:r>
        <w:t>.</w:t>
      </w:r>
    </w:p>
    <w:p w:rsidR="008A3B82" w:rsidRPr="009353BF" w:rsidRDefault="008A3B82" w:rsidP="00D3654C">
      <w:pPr>
        <w:rPr>
          <w:rFonts w:ascii="Garamond" w:hAnsi="Garamond"/>
        </w:rPr>
      </w:pPr>
    </w:p>
    <w:sectPr w:rsidR="008A3B82" w:rsidRPr="009353BF" w:rsidSect="005B599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106" w:rsidRDefault="00781106">
      <w:r>
        <w:separator/>
      </w:r>
    </w:p>
  </w:endnote>
  <w:endnote w:type="continuationSeparator" w:id="0">
    <w:p w:rsidR="00781106" w:rsidRDefault="00781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44" w:rsidRPr="007D09B7" w:rsidRDefault="00EA1144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E03066">
      <w:rPr>
        <w:rFonts w:ascii="Garamond" w:hAnsi="Garamond" w:cs="Arial"/>
        <w:color w:val="808080"/>
      </w:rPr>
      <w:t xml:space="preserve"> Mgr. Darina </w:t>
    </w:r>
    <w:proofErr w:type="spellStart"/>
    <w:r w:rsidR="00E03066"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106" w:rsidRDefault="00781106">
      <w:r>
        <w:separator/>
      </w:r>
    </w:p>
  </w:footnote>
  <w:footnote w:type="continuationSeparator" w:id="0">
    <w:p w:rsidR="00781106" w:rsidRDefault="00781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44" w:rsidRPr="007D09B7" w:rsidRDefault="00EA1144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A1144" w:rsidRDefault="00EA114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36E1D"/>
    <w:multiLevelType w:val="hybridMultilevel"/>
    <w:tmpl w:val="724AE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BF9"/>
    <w:multiLevelType w:val="hybridMultilevel"/>
    <w:tmpl w:val="724AE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128B5"/>
    <w:multiLevelType w:val="hybridMultilevel"/>
    <w:tmpl w:val="F5B6CA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16B57"/>
    <w:rsid w:val="0007028E"/>
    <w:rsid w:val="00074A0C"/>
    <w:rsid w:val="000F7290"/>
    <w:rsid w:val="00101E6A"/>
    <w:rsid w:val="00122F2A"/>
    <w:rsid w:val="00183906"/>
    <w:rsid w:val="001A5960"/>
    <w:rsid w:val="001F70D9"/>
    <w:rsid w:val="0020100E"/>
    <w:rsid w:val="00204A09"/>
    <w:rsid w:val="002824A8"/>
    <w:rsid w:val="002C4422"/>
    <w:rsid w:val="002F5373"/>
    <w:rsid w:val="003014E2"/>
    <w:rsid w:val="003443DF"/>
    <w:rsid w:val="003445A0"/>
    <w:rsid w:val="0035523E"/>
    <w:rsid w:val="003A4809"/>
    <w:rsid w:val="00435F47"/>
    <w:rsid w:val="00477A44"/>
    <w:rsid w:val="00477DC7"/>
    <w:rsid w:val="00481E3F"/>
    <w:rsid w:val="004C617F"/>
    <w:rsid w:val="004E385D"/>
    <w:rsid w:val="004F0723"/>
    <w:rsid w:val="0053314B"/>
    <w:rsid w:val="00586B61"/>
    <w:rsid w:val="005B5991"/>
    <w:rsid w:val="00653816"/>
    <w:rsid w:val="00667A27"/>
    <w:rsid w:val="006F42B2"/>
    <w:rsid w:val="0070516D"/>
    <w:rsid w:val="007144AD"/>
    <w:rsid w:val="00716590"/>
    <w:rsid w:val="007215A0"/>
    <w:rsid w:val="007325BB"/>
    <w:rsid w:val="00781106"/>
    <w:rsid w:val="007846F1"/>
    <w:rsid w:val="007A0522"/>
    <w:rsid w:val="007B7870"/>
    <w:rsid w:val="007D09B7"/>
    <w:rsid w:val="00836A19"/>
    <w:rsid w:val="008A3B82"/>
    <w:rsid w:val="009353BF"/>
    <w:rsid w:val="009926B7"/>
    <w:rsid w:val="00A13124"/>
    <w:rsid w:val="00A25B67"/>
    <w:rsid w:val="00A7094A"/>
    <w:rsid w:val="00AE5DCD"/>
    <w:rsid w:val="00B35086"/>
    <w:rsid w:val="00B96E92"/>
    <w:rsid w:val="00BC68EB"/>
    <w:rsid w:val="00BE2262"/>
    <w:rsid w:val="00C5144D"/>
    <w:rsid w:val="00C9519A"/>
    <w:rsid w:val="00D16275"/>
    <w:rsid w:val="00D22C6B"/>
    <w:rsid w:val="00D3654C"/>
    <w:rsid w:val="00D6122A"/>
    <w:rsid w:val="00D64971"/>
    <w:rsid w:val="00E03066"/>
    <w:rsid w:val="00EA1144"/>
    <w:rsid w:val="00EB6238"/>
    <w:rsid w:val="00F044C2"/>
    <w:rsid w:val="00F84960"/>
    <w:rsid w:val="00FA59A6"/>
    <w:rsid w:val="00FB0214"/>
    <w:rsid w:val="00FE3305"/>
    <w:rsid w:val="00FE6DB3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EB6238"/>
    <w:pPr>
      <w:ind w:left="720"/>
      <w:contextualSpacing/>
    </w:pPr>
  </w:style>
  <w:style w:type="table" w:styleId="Mkatabulky">
    <w:name w:val="Table Grid"/>
    <w:basedOn w:val="Normlntabulka"/>
    <w:uiPriority w:val="59"/>
    <w:rsid w:val="00EB623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12</cp:revision>
  <cp:lastPrinted>2011-06-09T12:05:00Z</cp:lastPrinted>
  <dcterms:created xsi:type="dcterms:W3CDTF">2012-03-01T12:22:00Z</dcterms:created>
  <dcterms:modified xsi:type="dcterms:W3CDTF">2014-09-03T14:17:00Z</dcterms:modified>
</cp:coreProperties>
</file>